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62A4">
      <w:pPr>
        <w:spacing w:line="360" w:lineRule="auto"/>
        <w:jc w:val="center"/>
      </w:pPr>
      <w:r>
        <w:rPr>
          <w:b/>
          <w:bCs/>
          <w:sz w:val="28"/>
          <w:szCs w:val="28"/>
        </w:rPr>
        <w:t xml:space="preserve">Documentation on the Boundary Conditions provided by MET Norway to EDIII Trend exercise </w:t>
      </w:r>
    </w:p>
    <w:p w:rsidR="00000000" w:rsidRDefault="002A62A4"/>
    <w:p w:rsidR="00000000" w:rsidRDefault="002A62A4"/>
    <w:p w:rsidR="00000000" w:rsidRDefault="002A62A4">
      <w:r>
        <w:t>The boundary conditions (BCs) supplied for the EDIII study are a simplified version of those used in the standard EMEP MSC-W model. The values are loosely based upon</w:t>
      </w:r>
      <w:r>
        <w:t xml:space="preserve"> climatological data (except from those for natural particles). The most important gaseous BC compounds are certainly O3, CO and </w:t>
      </w:r>
      <w:r w:rsidRPr="003F22EA">
        <w:t>CH4, and these</w:t>
      </w:r>
      <w:r>
        <w:t xml:space="preserve"> values are believed to be well founded. BCs for other gaseous and particulate compounds are much more uncertain.</w:t>
      </w:r>
      <w:r>
        <w:t xml:space="preserve"> In principle results from global 3-D models could have been used, but this would introduce very complex and likely equally uncertain BCs into the EDII exercise. The values documented below aim rather to be simple and transparent. </w:t>
      </w:r>
    </w:p>
    <w:p w:rsidR="00000000" w:rsidRDefault="002A62A4"/>
    <w:p w:rsidR="00000000" w:rsidRDefault="002A62A4"/>
    <w:p w:rsidR="00000000" w:rsidRDefault="002A62A4">
      <w:r>
        <w:t>The BCs are provided a</w:t>
      </w:r>
      <w:r>
        <w:t>s monthly mean 3D fields of the following species:</w:t>
      </w:r>
    </w:p>
    <w:p w:rsidR="00000000" w:rsidRDefault="002A62A4"/>
    <w:p w:rsidR="00000000" w:rsidRDefault="002A62A4" w:rsidP="005F779D">
      <w:pPr>
        <w:pStyle w:val="Listeavsnitt"/>
        <w:numPr>
          <w:ilvl w:val="0"/>
          <w:numId w:val="3"/>
        </w:numPr>
      </w:pPr>
      <w:r w:rsidRPr="005F779D">
        <w:rPr>
          <w:u w:val="single"/>
        </w:rPr>
        <w:t>Gases:</w:t>
      </w:r>
      <w:r>
        <w:t xml:space="preserve">  O3, PAN, CO</w:t>
      </w:r>
      <w:r>
        <w:t>, CH4</w:t>
      </w:r>
    </w:p>
    <w:p w:rsidR="00000000" w:rsidRDefault="002A62A4" w:rsidP="00843FBF">
      <w:pPr>
        <w:ind w:left="-57"/>
      </w:pPr>
    </w:p>
    <w:p w:rsidR="00000000" w:rsidRDefault="002A62A4" w:rsidP="005F779D">
      <w:pPr>
        <w:pStyle w:val="Listeavsnitt"/>
        <w:numPr>
          <w:ilvl w:val="0"/>
          <w:numId w:val="3"/>
        </w:numPr>
      </w:pPr>
      <w:r w:rsidRPr="005F779D">
        <w:rPr>
          <w:u w:val="single"/>
        </w:rPr>
        <w:t>Aerosols</w:t>
      </w:r>
      <w:r w:rsidR="005F779D">
        <w:rPr>
          <w:u w:val="single"/>
        </w:rPr>
        <w:t xml:space="preserve"> (fine &lt; 2.5 um, coarse 2.5 – 10 um) </w:t>
      </w:r>
      <w:r>
        <w:t>:</w:t>
      </w:r>
    </w:p>
    <w:p w:rsidR="005F779D" w:rsidRDefault="00843FBF">
      <w:r>
        <w:t xml:space="preserve"> </w:t>
      </w:r>
      <w:r w:rsidR="005F779D">
        <w:t xml:space="preserve">         </w:t>
      </w:r>
      <w:r w:rsidR="003F22EA">
        <w:t xml:space="preserve">   </w:t>
      </w:r>
      <w:proofErr w:type="gramStart"/>
      <w:r w:rsidR="002A62A4">
        <w:t>fine</w:t>
      </w:r>
      <w:proofErr w:type="gramEnd"/>
      <w:r w:rsidR="002A62A4">
        <w:t xml:space="preserve"> SO4 (“SO4”)</w:t>
      </w:r>
    </w:p>
    <w:p w:rsidR="005F779D" w:rsidRDefault="005F779D">
      <w:r>
        <w:t xml:space="preserve">          </w:t>
      </w:r>
      <w:r w:rsidR="003F22EA">
        <w:t xml:space="preserve">   </w:t>
      </w:r>
      <w:proofErr w:type="gramStart"/>
      <w:r w:rsidR="002A62A4">
        <w:t>fine</w:t>
      </w:r>
      <w:proofErr w:type="gramEnd"/>
      <w:r w:rsidR="002A62A4">
        <w:t xml:space="preserve"> NO3 (“NO3_F”)</w:t>
      </w:r>
    </w:p>
    <w:p w:rsidR="005F779D" w:rsidRDefault="005F779D">
      <w:r>
        <w:t xml:space="preserve">          </w:t>
      </w:r>
      <w:r w:rsidR="003F22EA">
        <w:t xml:space="preserve">   </w:t>
      </w:r>
      <w:proofErr w:type="gramStart"/>
      <w:r w:rsidR="002A62A4">
        <w:t>coarse</w:t>
      </w:r>
      <w:proofErr w:type="gramEnd"/>
      <w:r w:rsidR="002A62A4">
        <w:t xml:space="preserve"> NO3 (“NO3_C”)</w:t>
      </w:r>
    </w:p>
    <w:p w:rsidR="005F779D" w:rsidRDefault="005F779D">
      <w:r>
        <w:t xml:space="preserve">          </w:t>
      </w:r>
      <w:r w:rsidR="003F22EA">
        <w:t xml:space="preserve">   </w:t>
      </w:r>
      <w:proofErr w:type="gramStart"/>
      <w:r w:rsidR="002A62A4">
        <w:t>fine</w:t>
      </w:r>
      <w:proofErr w:type="gramEnd"/>
      <w:r w:rsidR="002A62A4">
        <w:t xml:space="preserve"> NH4 (“NH4”)</w:t>
      </w:r>
    </w:p>
    <w:p w:rsidR="005F779D" w:rsidRDefault="005F779D">
      <w:r>
        <w:t xml:space="preserve">          </w:t>
      </w:r>
      <w:r w:rsidR="003F22EA">
        <w:t xml:space="preserve">   </w:t>
      </w:r>
      <w:proofErr w:type="gramStart"/>
      <w:r w:rsidR="002A62A4">
        <w:t>sea</w:t>
      </w:r>
      <w:proofErr w:type="gramEnd"/>
      <w:r w:rsidR="002A62A4">
        <w:t xml:space="preserve"> salt fine (“SEASALT_F”)</w:t>
      </w:r>
    </w:p>
    <w:p w:rsidR="005F779D" w:rsidRDefault="005F779D">
      <w:r>
        <w:t xml:space="preserve">          </w:t>
      </w:r>
      <w:r w:rsidR="003F22EA">
        <w:t xml:space="preserve">   </w:t>
      </w:r>
      <w:proofErr w:type="gramStart"/>
      <w:r w:rsidR="002A62A4">
        <w:t>coarse</w:t>
      </w:r>
      <w:proofErr w:type="gramEnd"/>
      <w:r w:rsidR="002A62A4">
        <w:t xml:space="preserve"> (“SEASALT_C”)</w:t>
      </w:r>
    </w:p>
    <w:p w:rsidR="005F779D" w:rsidRDefault="005F779D">
      <w:r>
        <w:t xml:space="preserve">          </w:t>
      </w:r>
      <w:r w:rsidR="003F22EA">
        <w:t xml:space="preserve">   </w:t>
      </w:r>
      <w:proofErr w:type="gramStart"/>
      <w:r w:rsidR="002A62A4">
        <w:t>mineral</w:t>
      </w:r>
      <w:proofErr w:type="gramEnd"/>
      <w:r w:rsidR="002A62A4">
        <w:t xml:space="preserve"> dust fine (“DUST_WB_F”)</w:t>
      </w:r>
    </w:p>
    <w:p w:rsidR="00000000" w:rsidRDefault="005F779D">
      <w:r>
        <w:t xml:space="preserve">          </w:t>
      </w:r>
      <w:r w:rsidR="003F22EA">
        <w:t xml:space="preserve">   </w:t>
      </w:r>
      <w:proofErr w:type="gramStart"/>
      <w:r w:rsidR="002A62A4">
        <w:t>mineral</w:t>
      </w:r>
      <w:proofErr w:type="gramEnd"/>
      <w:r w:rsidR="002A62A4">
        <w:t xml:space="preserve"> dust</w:t>
      </w:r>
      <w:r w:rsidR="002A62A4">
        <w:t xml:space="preserve"> coarse(“DUST_WB_C”)</w:t>
      </w:r>
    </w:p>
    <w:p w:rsidR="00000000" w:rsidRDefault="002A62A4"/>
    <w:p w:rsidR="00000000" w:rsidRDefault="002A62A4">
      <w:r>
        <w:t>UNITS: volume mixing ratios. Note: dust molecular weight = 200 g/</w:t>
      </w:r>
      <w:proofErr w:type="spellStart"/>
      <w:r>
        <w:t>mol</w:t>
      </w:r>
      <w:proofErr w:type="spellEnd"/>
      <w:r>
        <w:t xml:space="preserve"> </w:t>
      </w:r>
    </w:p>
    <w:p w:rsidR="00000000" w:rsidRDefault="002A62A4"/>
    <w:p w:rsidR="00000000" w:rsidRDefault="002A62A4">
      <w:r>
        <w:t>GRID:</w:t>
      </w:r>
      <w:r>
        <w:rPr>
          <w:color w:val="000000"/>
        </w:rPr>
        <w:t xml:space="preserve">   Identical to the ERA/WRF meteorological data grid</w:t>
      </w:r>
    </w:p>
    <w:p w:rsidR="00000000" w:rsidRDefault="002A62A4">
      <w:r>
        <w:tab/>
      </w:r>
      <w:proofErr w:type="gramStart"/>
      <w:r>
        <w:t>Horizontal  -</w:t>
      </w:r>
      <w:proofErr w:type="gramEnd"/>
      <w:r>
        <w:t xml:space="preserve">     rotate</w:t>
      </w:r>
      <w:r>
        <w:t>d spherical</w:t>
      </w:r>
    </w:p>
    <w:p w:rsidR="00000000" w:rsidRDefault="002A62A4">
      <w:r>
        <w:tab/>
        <w:t>Vertical      -     31 layers</w:t>
      </w:r>
    </w:p>
    <w:p w:rsidR="00000000" w:rsidRDefault="002A62A4"/>
    <w:p w:rsidR="00000000" w:rsidRDefault="002A62A4"/>
    <w:p w:rsidR="00000000" w:rsidRDefault="002A62A4">
      <w:r>
        <w:t>IMPLEMENTATION:</w:t>
      </w:r>
    </w:p>
    <w:p w:rsidR="00000000" w:rsidRDefault="002A62A4">
      <w:r>
        <w:tab/>
        <w:t>No temporal interpolation between the months</w:t>
      </w:r>
    </w:p>
    <w:p w:rsidR="00000000" w:rsidRDefault="002A62A4"/>
    <w:p w:rsidR="00000000" w:rsidRDefault="002A62A4">
      <w:pPr>
        <w:rPr>
          <w:u w:val="single"/>
        </w:rPr>
      </w:pPr>
    </w:p>
    <w:p w:rsidR="00000000" w:rsidRDefault="002A62A4">
      <w:pPr>
        <w:pageBreakBefore/>
      </w:pPr>
      <w:r>
        <w:rPr>
          <w:u w:val="single"/>
        </w:rPr>
        <w:t>BCs BRIEF DESCRIPTION:</w:t>
      </w:r>
    </w:p>
    <w:p w:rsidR="00000000" w:rsidRDefault="002A62A4"/>
    <w:p w:rsidR="00000000" w:rsidRDefault="002A62A4">
      <w:r>
        <w:t>The parameters used to prescribe the seasonal cycle are provided in Table 1</w:t>
      </w:r>
      <w:r>
        <w:t xml:space="preserve"> (</w:t>
      </w:r>
      <w:proofErr w:type="spellStart"/>
      <w:r>
        <w:t>cf</w:t>
      </w:r>
      <w:proofErr w:type="spellEnd"/>
      <w:r>
        <w:t xml:space="preserve"> </w:t>
      </w:r>
      <w:proofErr w:type="spellStart"/>
      <w:r>
        <w:t>Eqn</w:t>
      </w:r>
      <w:proofErr w:type="spellEnd"/>
      <w:r>
        <w:t xml:space="preserve"> 74 in Simpson et al., 2012). </w:t>
      </w:r>
    </w:p>
    <w:p w:rsidR="00000000" w:rsidRDefault="002A62A4"/>
    <w:p w:rsidR="00000000" w:rsidRDefault="00CB2A06">
      <w:r>
        <w:t xml:space="preserve">The vertical distribution of </w:t>
      </w:r>
      <w:r w:rsidR="002A62A4">
        <w:t xml:space="preserve">most </w:t>
      </w:r>
      <w:r w:rsidR="002A62A4">
        <w:t xml:space="preserve">species are characterized with the scale-heights Hz (e-fold decrease of the surface concentrations) </w:t>
      </w:r>
      <w:r w:rsidR="002A62A4">
        <w:t xml:space="preserve">and other parameters </w:t>
      </w:r>
      <w:r w:rsidR="002A62A4">
        <w:t>as specified in Table 1</w:t>
      </w:r>
      <w:r w:rsidR="002A62A4">
        <w:t xml:space="preserve"> (</w:t>
      </w:r>
      <w:proofErr w:type="spellStart"/>
      <w:r w:rsidR="002A62A4">
        <w:t>cf</w:t>
      </w:r>
      <w:proofErr w:type="spellEnd"/>
      <w:r w:rsidR="002A62A4">
        <w:t xml:space="preserve"> </w:t>
      </w:r>
      <w:proofErr w:type="spellStart"/>
      <w:r w:rsidR="002A62A4">
        <w:t>Eqns</w:t>
      </w:r>
      <w:proofErr w:type="spellEnd"/>
      <w:r w:rsidR="002A62A4">
        <w:t xml:space="preserve"> (75), ibid). The main simplification from Simpson et al 201</w:t>
      </w:r>
      <w:r w:rsidR="002A62A4">
        <w:t>2 is that the latitudinal variations (Table S22, ibid) were omitted. These variations were based upon old literature, and recent work has shown that the</w:t>
      </w:r>
      <w:r w:rsidR="002A62A4">
        <w:t>se</w:t>
      </w:r>
      <w:r w:rsidR="002A62A4">
        <w:t xml:space="preserve"> variations have little impact on model results.</w:t>
      </w:r>
    </w:p>
    <w:p w:rsidR="00000000" w:rsidRDefault="002A62A4"/>
    <w:p w:rsidR="00000000" w:rsidRDefault="002A62A4"/>
    <w:p w:rsidR="00000000" w:rsidRDefault="002A62A4">
      <w:pPr>
        <w:jc w:val="center"/>
      </w:pPr>
      <w:r>
        <w:t xml:space="preserve">Table 1 </w:t>
      </w:r>
      <w:r>
        <w:t>Adapted from</w:t>
      </w:r>
      <w:r w:rsidR="00CB2A06">
        <w:t xml:space="preserve"> Table S21 (S</w:t>
      </w:r>
      <w:r>
        <w:t>upplement</w:t>
      </w:r>
      <w:r>
        <w:t>,</w:t>
      </w:r>
      <w:r>
        <w:t xml:space="preserve"> </w:t>
      </w:r>
      <w:r>
        <w:t>Simpson et al., 2012)</w:t>
      </w:r>
    </w:p>
    <w:p w:rsidR="00000000" w:rsidRDefault="002A62A4">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71"/>
        <w:gridCol w:w="1114"/>
        <w:gridCol w:w="1113"/>
        <w:gridCol w:w="1200"/>
        <w:gridCol w:w="1200"/>
        <w:gridCol w:w="1384"/>
        <w:gridCol w:w="1383"/>
      </w:tblGrid>
      <w:tr w:rsidR="00000000">
        <w:tc>
          <w:tcPr>
            <w:tcW w:w="1371" w:type="dxa"/>
            <w:tcBorders>
              <w:top w:val="single" w:sz="1" w:space="0" w:color="000000"/>
              <w:left w:val="single" w:sz="1" w:space="0" w:color="000000"/>
              <w:bottom w:val="single" w:sz="1" w:space="0" w:color="000000"/>
            </w:tcBorders>
            <w:shd w:val="clear" w:color="auto" w:fill="auto"/>
          </w:tcPr>
          <w:p w:rsidR="00000000" w:rsidRDefault="002A62A4">
            <w:pPr>
              <w:pStyle w:val="TableContents"/>
              <w:rPr>
                <w:rFonts w:cs="Times New Roman"/>
              </w:rPr>
            </w:pPr>
            <w:r>
              <w:t>Component</w:t>
            </w:r>
          </w:p>
        </w:tc>
        <w:tc>
          <w:tcPr>
            <w:tcW w:w="1114" w:type="dxa"/>
            <w:tcBorders>
              <w:top w:val="single" w:sz="1" w:space="0" w:color="000000"/>
              <w:left w:val="single" w:sz="1" w:space="0" w:color="000000"/>
              <w:bottom w:val="single" w:sz="1" w:space="0" w:color="000000"/>
            </w:tcBorders>
            <w:shd w:val="clear" w:color="auto" w:fill="auto"/>
          </w:tcPr>
          <w:p w:rsidR="00000000" w:rsidRDefault="002A62A4">
            <w:pPr>
              <w:pStyle w:val="TableContents"/>
              <w:jc w:val="center"/>
            </w:pPr>
            <w:r>
              <w:rPr>
                <w:rFonts w:cs="Times New Roman"/>
              </w:rPr>
              <w:t>χ</w:t>
            </w:r>
            <w:r>
              <w:t xml:space="preserve"> </w:t>
            </w:r>
            <w:r>
              <w:rPr>
                <w:vertAlign w:val="subscript"/>
              </w:rPr>
              <w:t>mean</w:t>
            </w:r>
          </w:p>
          <w:p w:rsidR="00000000" w:rsidRDefault="002A62A4">
            <w:pPr>
              <w:pStyle w:val="TableContents"/>
              <w:jc w:val="center"/>
              <w:rPr>
                <w:vertAlign w:val="subscript"/>
              </w:rPr>
            </w:pPr>
            <w:r>
              <w:t>ppb</w:t>
            </w:r>
          </w:p>
        </w:tc>
        <w:tc>
          <w:tcPr>
            <w:tcW w:w="1113" w:type="dxa"/>
            <w:tcBorders>
              <w:top w:val="single" w:sz="1" w:space="0" w:color="000000"/>
              <w:left w:val="single" w:sz="1" w:space="0" w:color="000000"/>
              <w:bottom w:val="single" w:sz="1" w:space="0" w:color="000000"/>
            </w:tcBorders>
            <w:shd w:val="clear" w:color="auto" w:fill="auto"/>
          </w:tcPr>
          <w:p w:rsidR="00000000" w:rsidRDefault="002A62A4">
            <w:pPr>
              <w:pStyle w:val="TableContents"/>
              <w:jc w:val="center"/>
            </w:pPr>
            <w:proofErr w:type="spellStart"/>
            <w:r>
              <w:rPr>
                <w:vertAlign w:val="subscript"/>
              </w:rPr>
              <w:t>dmax</w:t>
            </w:r>
            <w:proofErr w:type="spellEnd"/>
          </w:p>
          <w:p w:rsidR="00000000" w:rsidRDefault="002A62A4">
            <w:pPr>
              <w:pStyle w:val="TableContents"/>
              <w:jc w:val="center"/>
              <w:rPr>
                <w:rFonts w:cs="Times New Roman"/>
              </w:rPr>
            </w:pPr>
            <w:r>
              <w:t>days</w:t>
            </w:r>
          </w:p>
        </w:tc>
        <w:tc>
          <w:tcPr>
            <w:tcW w:w="1200" w:type="dxa"/>
            <w:tcBorders>
              <w:top w:val="single" w:sz="1" w:space="0" w:color="000000"/>
              <w:left w:val="single" w:sz="1" w:space="0" w:color="000000"/>
              <w:bottom w:val="single" w:sz="1" w:space="0" w:color="000000"/>
            </w:tcBorders>
            <w:shd w:val="clear" w:color="auto" w:fill="auto"/>
          </w:tcPr>
          <w:p w:rsidR="00000000" w:rsidRDefault="002A62A4">
            <w:pPr>
              <w:pStyle w:val="TableContents"/>
              <w:jc w:val="center"/>
              <w:rPr>
                <w:rFonts w:cs="Times New Roman"/>
              </w:rPr>
            </w:pPr>
            <w:proofErr w:type="spellStart"/>
            <w:r>
              <w:rPr>
                <w:rFonts w:cs="Times New Roman"/>
              </w:rPr>
              <w:t>Δχ</w:t>
            </w:r>
            <w:proofErr w:type="spellEnd"/>
          </w:p>
          <w:p w:rsidR="00000000" w:rsidRDefault="002A62A4">
            <w:pPr>
              <w:pStyle w:val="TableContents"/>
              <w:jc w:val="center"/>
            </w:pPr>
            <w:r>
              <w:rPr>
                <w:rFonts w:cs="Times New Roman"/>
              </w:rPr>
              <w:t>ppb</w:t>
            </w:r>
          </w:p>
        </w:tc>
        <w:tc>
          <w:tcPr>
            <w:tcW w:w="1200" w:type="dxa"/>
            <w:tcBorders>
              <w:top w:val="single" w:sz="1" w:space="0" w:color="000000"/>
              <w:left w:val="single" w:sz="1" w:space="0" w:color="000000"/>
              <w:bottom w:val="single" w:sz="1" w:space="0" w:color="000000"/>
            </w:tcBorders>
            <w:shd w:val="clear" w:color="auto" w:fill="auto"/>
          </w:tcPr>
          <w:p w:rsidR="00000000" w:rsidRDefault="002A62A4">
            <w:pPr>
              <w:pStyle w:val="TableContents"/>
              <w:jc w:val="center"/>
            </w:pPr>
            <w:r>
              <w:t>Hz</w:t>
            </w:r>
          </w:p>
          <w:p w:rsidR="00000000" w:rsidRDefault="002A62A4">
            <w:pPr>
              <w:pStyle w:val="TableContents"/>
              <w:jc w:val="center"/>
              <w:rPr>
                <w:rFonts w:cs="Times New Roman"/>
              </w:rPr>
            </w:pPr>
            <w:r>
              <w:t>km</w:t>
            </w:r>
          </w:p>
        </w:tc>
        <w:tc>
          <w:tcPr>
            <w:tcW w:w="1384" w:type="dxa"/>
            <w:tcBorders>
              <w:top w:val="single" w:sz="1" w:space="0" w:color="000000"/>
              <w:left w:val="single" w:sz="1" w:space="0" w:color="000000"/>
              <w:bottom w:val="single" w:sz="1" w:space="0" w:color="000000"/>
            </w:tcBorders>
            <w:shd w:val="clear" w:color="auto" w:fill="auto"/>
          </w:tcPr>
          <w:p w:rsidR="00000000" w:rsidRDefault="002A62A4">
            <w:pPr>
              <w:pStyle w:val="TableContents"/>
              <w:jc w:val="center"/>
            </w:pPr>
            <w:r>
              <w:rPr>
                <w:rFonts w:cs="Times New Roman"/>
              </w:rPr>
              <w:t>χ</w:t>
            </w:r>
            <w:r>
              <w:t xml:space="preserve"> </w:t>
            </w:r>
            <w:r>
              <w:rPr>
                <w:vertAlign w:val="subscript"/>
              </w:rPr>
              <w:t>min</w:t>
            </w:r>
            <w:r>
              <w:t xml:space="preserve"> </w:t>
            </w:r>
            <w:r>
              <w:rPr>
                <w:vertAlign w:val="superscript"/>
              </w:rPr>
              <w:t>v</w:t>
            </w:r>
          </w:p>
          <w:p w:rsidR="00000000" w:rsidRDefault="002A62A4">
            <w:pPr>
              <w:pStyle w:val="TableContents"/>
              <w:jc w:val="center"/>
            </w:pPr>
            <w:r>
              <w:t>ppb</w:t>
            </w:r>
          </w:p>
        </w:tc>
        <w:tc>
          <w:tcPr>
            <w:tcW w:w="1383"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2A62A4">
            <w:pPr>
              <w:pStyle w:val="TableContents"/>
              <w:jc w:val="center"/>
            </w:pPr>
            <w:r>
              <w:t>Annual</w:t>
            </w:r>
          </w:p>
          <w:p w:rsidR="00000000" w:rsidRDefault="002A62A4">
            <w:pPr>
              <w:pStyle w:val="TableContents"/>
              <w:jc w:val="center"/>
            </w:pPr>
            <w:r>
              <w:t>Trend</w:t>
            </w:r>
          </w:p>
        </w:tc>
      </w:tr>
      <w:tr w:rsidR="00000000">
        <w:tc>
          <w:tcPr>
            <w:tcW w:w="1371" w:type="dxa"/>
            <w:tcBorders>
              <w:left w:val="single" w:sz="1" w:space="0" w:color="000000"/>
              <w:bottom w:val="single" w:sz="1" w:space="0" w:color="000000"/>
            </w:tcBorders>
            <w:shd w:val="clear" w:color="auto" w:fill="auto"/>
          </w:tcPr>
          <w:p w:rsidR="00000000" w:rsidRDefault="002A62A4">
            <w:pPr>
              <w:pStyle w:val="TableContents"/>
            </w:pPr>
            <w:r>
              <w:t>CO</w:t>
            </w:r>
          </w:p>
        </w:tc>
        <w:tc>
          <w:tcPr>
            <w:tcW w:w="1114" w:type="dxa"/>
            <w:tcBorders>
              <w:left w:val="single" w:sz="1" w:space="0" w:color="000000"/>
              <w:bottom w:val="single" w:sz="1" w:space="0" w:color="000000"/>
            </w:tcBorders>
            <w:shd w:val="clear" w:color="auto" w:fill="auto"/>
          </w:tcPr>
          <w:p w:rsidR="00000000" w:rsidRDefault="002A62A4">
            <w:pPr>
              <w:pStyle w:val="TableContents"/>
              <w:jc w:val="center"/>
            </w:pPr>
            <w:r>
              <w:t>125.0</w:t>
            </w:r>
          </w:p>
        </w:tc>
        <w:tc>
          <w:tcPr>
            <w:tcW w:w="1113" w:type="dxa"/>
            <w:tcBorders>
              <w:left w:val="single" w:sz="1" w:space="0" w:color="000000"/>
              <w:bottom w:val="single" w:sz="1" w:space="0" w:color="000000"/>
            </w:tcBorders>
            <w:shd w:val="clear" w:color="auto" w:fill="auto"/>
          </w:tcPr>
          <w:p w:rsidR="00000000" w:rsidRDefault="002A62A4">
            <w:pPr>
              <w:pStyle w:val="TableContents"/>
              <w:jc w:val="center"/>
            </w:pPr>
            <w:r>
              <w:t>75.0</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35.0</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25.0</w:t>
            </w:r>
          </w:p>
        </w:tc>
        <w:tc>
          <w:tcPr>
            <w:tcW w:w="1384" w:type="dxa"/>
            <w:tcBorders>
              <w:left w:val="single" w:sz="1" w:space="0" w:color="000000"/>
              <w:bottom w:val="single" w:sz="1" w:space="0" w:color="000000"/>
            </w:tcBorders>
            <w:shd w:val="clear" w:color="auto" w:fill="auto"/>
          </w:tcPr>
          <w:p w:rsidR="00000000" w:rsidRDefault="002A62A4">
            <w:pPr>
              <w:pStyle w:val="TableContents"/>
              <w:jc w:val="center"/>
            </w:pPr>
            <w:r>
              <w:t>70.0</w:t>
            </w:r>
          </w:p>
        </w:tc>
        <w:tc>
          <w:tcPr>
            <w:tcW w:w="1383" w:type="dxa"/>
            <w:tcBorders>
              <w:left w:val="single" w:sz="1" w:space="0" w:color="000000"/>
              <w:bottom w:val="single" w:sz="1" w:space="0" w:color="000000"/>
              <w:right w:val="single" w:sz="1" w:space="0" w:color="000000"/>
            </w:tcBorders>
            <w:shd w:val="clear" w:color="auto" w:fill="auto"/>
          </w:tcPr>
          <w:p w:rsidR="00000000" w:rsidRDefault="002A62A4">
            <w:pPr>
              <w:pStyle w:val="TableContents"/>
              <w:jc w:val="center"/>
            </w:pPr>
            <w:r>
              <w:t>no</w:t>
            </w:r>
          </w:p>
        </w:tc>
      </w:tr>
      <w:tr w:rsidR="00000000">
        <w:tc>
          <w:tcPr>
            <w:tcW w:w="1371" w:type="dxa"/>
            <w:tcBorders>
              <w:left w:val="single" w:sz="1" w:space="0" w:color="000000"/>
              <w:bottom w:val="single" w:sz="1" w:space="0" w:color="000000"/>
            </w:tcBorders>
            <w:shd w:val="clear" w:color="auto" w:fill="auto"/>
          </w:tcPr>
          <w:p w:rsidR="00000000" w:rsidRDefault="002A62A4">
            <w:pPr>
              <w:pStyle w:val="TableContents"/>
            </w:pPr>
            <w:r>
              <w:t>PAN</w:t>
            </w:r>
          </w:p>
        </w:tc>
        <w:tc>
          <w:tcPr>
            <w:tcW w:w="1114" w:type="dxa"/>
            <w:tcBorders>
              <w:left w:val="single" w:sz="1" w:space="0" w:color="000000"/>
              <w:bottom w:val="single" w:sz="1" w:space="0" w:color="000000"/>
            </w:tcBorders>
            <w:shd w:val="clear" w:color="auto" w:fill="auto"/>
          </w:tcPr>
          <w:p w:rsidR="00000000" w:rsidRDefault="002A62A4">
            <w:pPr>
              <w:pStyle w:val="TableContents"/>
              <w:jc w:val="center"/>
            </w:pPr>
            <w:r>
              <w:t>0.20</w:t>
            </w:r>
          </w:p>
        </w:tc>
        <w:tc>
          <w:tcPr>
            <w:tcW w:w="1113" w:type="dxa"/>
            <w:tcBorders>
              <w:left w:val="single" w:sz="1" w:space="0" w:color="000000"/>
              <w:bottom w:val="single" w:sz="1" w:space="0" w:color="000000"/>
            </w:tcBorders>
            <w:shd w:val="clear" w:color="auto" w:fill="auto"/>
          </w:tcPr>
          <w:p w:rsidR="00000000" w:rsidRDefault="002A62A4">
            <w:pPr>
              <w:pStyle w:val="TableContents"/>
              <w:jc w:val="center"/>
            </w:pPr>
            <w:r>
              <w:t>120</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rPr>
                <w:rFonts w:eastAsia="Times New Roman" w:cs="Times New Roman"/>
              </w:rPr>
            </w:pPr>
            <w:r>
              <w:t>0.15</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rPr>
                <w:rFonts w:eastAsia="Times New Roman" w:cs="Times New Roman"/>
              </w:rPr>
              <w:t>∞</w:t>
            </w:r>
          </w:p>
        </w:tc>
        <w:tc>
          <w:tcPr>
            <w:tcW w:w="1384" w:type="dxa"/>
            <w:tcBorders>
              <w:left w:val="single" w:sz="1" w:space="0" w:color="000000"/>
              <w:bottom w:val="single" w:sz="1" w:space="0" w:color="000000"/>
            </w:tcBorders>
            <w:shd w:val="clear" w:color="auto" w:fill="auto"/>
          </w:tcPr>
          <w:p w:rsidR="00000000" w:rsidRDefault="002A62A4">
            <w:pPr>
              <w:pStyle w:val="TableContents"/>
              <w:jc w:val="center"/>
            </w:pPr>
            <w:r>
              <w:t>0.20</w:t>
            </w:r>
          </w:p>
        </w:tc>
        <w:tc>
          <w:tcPr>
            <w:tcW w:w="1383" w:type="dxa"/>
            <w:tcBorders>
              <w:left w:val="single" w:sz="1" w:space="0" w:color="000000"/>
              <w:bottom w:val="single" w:sz="1" w:space="0" w:color="000000"/>
              <w:right w:val="single" w:sz="1" w:space="0" w:color="000000"/>
            </w:tcBorders>
            <w:shd w:val="clear" w:color="auto" w:fill="auto"/>
          </w:tcPr>
          <w:p w:rsidR="00000000" w:rsidRDefault="002A62A4">
            <w:pPr>
              <w:pStyle w:val="TableContents"/>
              <w:jc w:val="center"/>
            </w:pPr>
            <w:r>
              <w:t>yes</w:t>
            </w:r>
          </w:p>
        </w:tc>
      </w:tr>
      <w:tr w:rsidR="00000000">
        <w:tc>
          <w:tcPr>
            <w:tcW w:w="1371" w:type="dxa"/>
            <w:tcBorders>
              <w:left w:val="single" w:sz="1" w:space="0" w:color="000000"/>
              <w:bottom w:val="single" w:sz="1" w:space="0" w:color="000000"/>
            </w:tcBorders>
            <w:shd w:val="clear" w:color="auto" w:fill="auto"/>
          </w:tcPr>
          <w:p w:rsidR="00000000" w:rsidRDefault="002A62A4">
            <w:pPr>
              <w:pStyle w:val="TableContents"/>
            </w:pPr>
            <w:r>
              <w:t>SO4</w:t>
            </w:r>
          </w:p>
        </w:tc>
        <w:tc>
          <w:tcPr>
            <w:tcW w:w="1114" w:type="dxa"/>
            <w:tcBorders>
              <w:left w:val="single" w:sz="1" w:space="0" w:color="000000"/>
              <w:bottom w:val="single" w:sz="1" w:space="0" w:color="000000"/>
            </w:tcBorders>
            <w:shd w:val="clear" w:color="auto" w:fill="auto"/>
          </w:tcPr>
          <w:p w:rsidR="00000000" w:rsidRDefault="002A62A4">
            <w:pPr>
              <w:pStyle w:val="TableContents"/>
              <w:jc w:val="center"/>
            </w:pPr>
            <w:r>
              <w:t>0.15</w:t>
            </w:r>
          </w:p>
        </w:tc>
        <w:tc>
          <w:tcPr>
            <w:tcW w:w="1113" w:type="dxa"/>
            <w:tcBorders>
              <w:left w:val="single" w:sz="1" w:space="0" w:color="000000"/>
              <w:bottom w:val="single" w:sz="1" w:space="0" w:color="000000"/>
            </w:tcBorders>
            <w:shd w:val="clear" w:color="auto" w:fill="auto"/>
          </w:tcPr>
          <w:p w:rsidR="00000000" w:rsidRDefault="002A62A4">
            <w:pPr>
              <w:pStyle w:val="TableContents"/>
              <w:jc w:val="center"/>
            </w:pPr>
            <w:r>
              <w:t>180</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rPr>
                <w:rFonts w:eastAsia="Times New Roman" w:cs="Times New Roman"/>
              </w:rPr>
            </w:pPr>
            <w:r>
              <w:t>0.00</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rPr>
                <w:rFonts w:eastAsia="Times New Roman" w:cs="Times New Roman"/>
              </w:rPr>
              <w:t>∞</w:t>
            </w:r>
          </w:p>
        </w:tc>
        <w:tc>
          <w:tcPr>
            <w:tcW w:w="1384" w:type="dxa"/>
            <w:tcBorders>
              <w:left w:val="single" w:sz="1" w:space="0" w:color="000000"/>
              <w:bottom w:val="single" w:sz="1" w:space="0" w:color="000000"/>
            </w:tcBorders>
            <w:shd w:val="clear" w:color="auto" w:fill="auto"/>
          </w:tcPr>
          <w:p w:rsidR="00000000" w:rsidRDefault="002A62A4">
            <w:pPr>
              <w:pStyle w:val="TableContents"/>
              <w:jc w:val="center"/>
            </w:pPr>
            <w:r>
              <w:t>0.05</w:t>
            </w:r>
          </w:p>
        </w:tc>
        <w:tc>
          <w:tcPr>
            <w:tcW w:w="1383" w:type="dxa"/>
            <w:tcBorders>
              <w:left w:val="single" w:sz="1" w:space="0" w:color="000000"/>
              <w:bottom w:val="single" w:sz="1" w:space="0" w:color="000000"/>
              <w:right w:val="single" w:sz="1" w:space="0" w:color="000000"/>
            </w:tcBorders>
            <w:shd w:val="clear" w:color="auto" w:fill="auto"/>
          </w:tcPr>
          <w:p w:rsidR="00000000" w:rsidRDefault="002A62A4">
            <w:pPr>
              <w:pStyle w:val="TableContents"/>
              <w:jc w:val="center"/>
            </w:pPr>
            <w:r>
              <w:t>y</w:t>
            </w:r>
            <w:r>
              <w:t xml:space="preserve">es </w:t>
            </w:r>
          </w:p>
        </w:tc>
      </w:tr>
      <w:tr w:rsidR="00000000">
        <w:tc>
          <w:tcPr>
            <w:tcW w:w="1371" w:type="dxa"/>
            <w:tcBorders>
              <w:left w:val="single" w:sz="1" w:space="0" w:color="000000"/>
              <w:bottom w:val="single" w:sz="1" w:space="0" w:color="000000"/>
            </w:tcBorders>
            <w:shd w:val="clear" w:color="auto" w:fill="auto"/>
          </w:tcPr>
          <w:p w:rsidR="00000000" w:rsidRDefault="002A62A4">
            <w:pPr>
              <w:pStyle w:val="TableContents"/>
            </w:pPr>
            <w:r>
              <w:t>NO3 fine</w:t>
            </w:r>
          </w:p>
        </w:tc>
        <w:tc>
          <w:tcPr>
            <w:tcW w:w="1114" w:type="dxa"/>
            <w:tcBorders>
              <w:left w:val="single" w:sz="1" w:space="0" w:color="000000"/>
              <w:bottom w:val="single" w:sz="1" w:space="0" w:color="000000"/>
            </w:tcBorders>
            <w:shd w:val="clear" w:color="auto" w:fill="auto"/>
          </w:tcPr>
          <w:p w:rsidR="00000000" w:rsidRDefault="002A62A4">
            <w:pPr>
              <w:pStyle w:val="TableContents"/>
              <w:jc w:val="center"/>
            </w:pPr>
            <w:r>
              <w:t>0.07</w:t>
            </w:r>
          </w:p>
        </w:tc>
        <w:tc>
          <w:tcPr>
            <w:tcW w:w="1113" w:type="dxa"/>
            <w:tcBorders>
              <w:left w:val="single" w:sz="1" w:space="0" w:color="000000"/>
              <w:bottom w:val="single" w:sz="1" w:space="0" w:color="000000"/>
            </w:tcBorders>
            <w:shd w:val="clear" w:color="auto" w:fill="auto"/>
          </w:tcPr>
          <w:p w:rsidR="00000000" w:rsidRDefault="002A62A4">
            <w:pPr>
              <w:pStyle w:val="TableContents"/>
              <w:jc w:val="center"/>
            </w:pPr>
            <w:r>
              <w:t>15</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0.03</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1.6</w:t>
            </w:r>
          </w:p>
        </w:tc>
        <w:tc>
          <w:tcPr>
            <w:tcW w:w="1384" w:type="dxa"/>
            <w:tcBorders>
              <w:left w:val="single" w:sz="1" w:space="0" w:color="000000"/>
              <w:bottom w:val="single" w:sz="1" w:space="0" w:color="000000"/>
            </w:tcBorders>
            <w:shd w:val="clear" w:color="auto" w:fill="auto"/>
          </w:tcPr>
          <w:p w:rsidR="00000000" w:rsidRDefault="002A62A4">
            <w:pPr>
              <w:pStyle w:val="TableContents"/>
              <w:jc w:val="center"/>
            </w:pPr>
            <w:r>
              <w:t>0.025</w:t>
            </w:r>
          </w:p>
        </w:tc>
        <w:tc>
          <w:tcPr>
            <w:tcW w:w="1383" w:type="dxa"/>
            <w:tcBorders>
              <w:left w:val="single" w:sz="1" w:space="0" w:color="000000"/>
              <w:bottom w:val="single" w:sz="1" w:space="0" w:color="000000"/>
              <w:right w:val="single" w:sz="1" w:space="0" w:color="000000"/>
            </w:tcBorders>
            <w:shd w:val="clear" w:color="auto" w:fill="auto"/>
          </w:tcPr>
          <w:p w:rsidR="00000000" w:rsidRDefault="002A62A4">
            <w:pPr>
              <w:pStyle w:val="TableContents"/>
              <w:jc w:val="center"/>
            </w:pPr>
            <w:r>
              <w:t>yes</w:t>
            </w:r>
          </w:p>
        </w:tc>
      </w:tr>
      <w:tr w:rsidR="00000000">
        <w:tc>
          <w:tcPr>
            <w:tcW w:w="1371" w:type="dxa"/>
            <w:tcBorders>
              <w:left w:val="single" w:sz="1" w:space="0" w:color="000000"/>
              <w:bottom w:val="single" w:sz="1" w:space="0" w:color="000000"/>
            </w:tcBorders>
            <w:shd w:val="clear" w:color="auto" w:fill="auto"/>
          </w:tcPr>
          <w:p w:rsidR="00000000" w:rsidRDefault="002A62A4">
            <w:pPr>
              <w:pStyle w:val="TableContents"/>
            </w:pPr>
            <w:r>
              <w:t>NO3 coarse</w:t>
            </w:r>
          </w:p>
        </w:tc>
        <w:tc>
          <w:tcPr>
            <w:tcW w:w="1114" w:type="dxa"/>
            <w:tcBorders>
              <w:left w:val="single" w:sz="1" w:space="0" w:color="000000"/>
              <w:bottom w:val="single" w:sz="1" w:space="0" w:color="000000"/>
            </w:tcBorders>
            <w:shd w:val="clear" w:color="auto" w:fill="auto"/>
          </w:tcPr>
          <w:p w:rsidR="00000000" w:rsidRDefault="002A62A4">
            <w:pPr>
              <w:pStyle w:val="TableContents"/>
              <w:jc w:val="center"/>
            </w:pPr>
            <w:r>
              <w:t>0.07</w:t>
            </w:r>
          </w:p>
        </w:tc>
        <w:tc>
          <w:tcPr>
            <w:tcW w:w="1113" w:type="dxa"/>
            <w:tcBorders>
              <w:left w:val="single" w:sz="1" w:space="0" w:color="000000"/>
              <w:bottom w:val="single" w:sz="1" w:space="0" w:color="000000"/>
            </w:tcBorders>
            <w:shd w:val="clear" w:color="auto" w:fill="auto"/>
          </w:tcPr>
          <w:p w:rsidR="00000000" w:rsidRDefault="002A62A4">
            <w:pPr>
              <w:pStyle w:val="TableContents"/>
              <w:jc w:val="center"/>
            </w:pPr>
            <w:r>
              <w:t>15</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0.00</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1.6</w:t>
            </w:r>
          </w:p>
        </w:tc>
        <w:tc>
          <w:tcPr>
            <w:tcW w:w="1384" w:type="dxa"/>
            <w:tcBorders>
              <w:left w:val="single" w:sz="1" w:space="0" w:color="000000"/>
              <w:bottom w:val="single" w:sz="1" w:space="0" w:color="000000"/>
            </w:tcBorders>
            <w:shd w:val="clear" w:color="auto" w:fill="auto"/>
          </w:tcPr>
          <w:p w:rsidR="00000000" w:rsidRDefault="002A62A4">
            <w:pPr>
              <w:pStyle w:val="TableContents"/>
              <w:jc w:val="center"/>
            </w:pPr>
            <w:r>
              <w:t>0.025</w:t>
            </w:r>
          </w:p>
        </w:tc>
        <w:tc>
          <w:tcPr>
            <w:tcW w:w="1383" w:type="dxa"/>
            <w:tcBorders>
              <w:left w:val="single" w:sz="1" w:space="0" w:color="000000"/>
              <w:bottom w:val="single" w:sz="1" w:space="0" w:color="000000"/>
              <w:right w:val="single" w:sz="1" w:space="0" w:color="000000"/>
            </w:tcBorders>
            <w:shd w:val="clear" w:color="auto" w:fill="auto"/>
          </w:tcPr>
          <w:p w:rsidR="00000000" w:rsidRDefault="002A62A4">
            <w:pPr>
              <w:pStyle w:val="TableContents"/>
              <w:jc w:val="center"/>
            </w:pPr>
            <w:r>
              <w:t>yes</w:t>
            </w:r>
          </w:p>
        </w:tc>
      </w:tr>
      <w:tr w:rsidR="00000000">
        <w:tc>
          <w:tcPr>
            <w:tcW w:w="1371" w:type="dxa"/>
            <w:tcBorders>
              <w:left w:val="single" w:sz="1" w:space="0" w:color="000000"/>
              <w:bottom w:val="single" w:sz="1" w:space="0" w:color="000000"/>
            </w:tcBorders>
            <w:shd w:val="clear" w:color="auto" w:fill="auto"/>
          </w:tcPr>
          <w:p w:rsidR="00000000" w:rsidRDefault="002A62A4">
            <w:pPr>
              <w:pStyle w:val="TableContents"/>
            </w:pPr>
            <w:r>
              <w:t>NH4</w:t>
            </w:r>
          </w:p>
        </w:tc>
        <w:tc>
          <w:tcPr>
            <w:tcW w:w="1114" w:type="dxa"/>
            <w:tcBorders>
              <w:left w:val="single" w:sz="1" w:space="0" w:color="000000"/>
              <w:bottom w:val="single" w:sz="1" w:space="0" w:color="000000"/>
            </w:tcBorders>
            <w:shd w:val="clear" w:color="auto" w:fill="auto"/>
          </w:tcPr>
          <w:p w:rsidR="00000000" w:rsidRDefault="002A62A4">
            <w:pPr>
              <w:pStyle w:val="TableContents"/>
              <w:jc w:val="center"/>
            </w:pPr>
            <w:r>
              <w:t>0.15</w:t>
            </w:r>
          </w:p>
        </w:tc>
        <w:tc>
          <w:tcPr>
            <w:tcW w:w="1113" w:type="dxa"/>
            <w:tcBorders>
              <w:left w:val="single" w:sz="1" w:space="0" w:color="000000"/>
              <w:bottom w:val="single" w:sz="1" w:space="0" w:color="000000"/>
            </w:tcBorders>
            <w:shd w:val="clear" w:color="auto" w:fill="auto"/>
          </w:tcPr>
          <w:p w:rsidR="00000000" w:rsidRDefault="002A62A4">
            <w:pPr>
              <w:pStyle w:val="TableContents"/>
              <w:jc w:val="center"/>
            </w:pPr>
            <w:r>
              <w:t>180</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0.00</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1.6</w:t>
            </w:r>
          </w:p>
        </w:tc>
        <w:tc>
          <w:tcPr>
            <w:tcW w:w="1384" w:type="dxa"/>
            <w:tcBorders>
              <w:left w:val="single" w:sz="1" w:space="0" w:color="000000"/>
              <w:bottom w:val="single" w:sz="1" w:space="0" w:color="000000"/>
            </w:tcBorders>
            <w:shd w:val="clear" w:color="auto" w:fill="auto"/>
          </w:tcPr>
          <w:p w:rsidR="00000000" w:rsidRDefault="002A62A4">
            <w:pPr>
              <w:pStyle w:val="TableContents"/>
              <w:jc w:val="center"/>
            </w:pPr>
            <w:r>
              <w:t>0.05</w:t>
            </w:r>
          </w:p>
        </w:tc>
        <w:tc>
          <w:tcPr>
            <w:tcW w:w="1383" w:type="dxa"/>
            <w:tcBorders>
              <w:left w:val="single" w:sz="1" w:space="0" w:color="000000"/>
              <w:bottom w:val="single" w:sz="1" w:space="0" w:color="000000"/>
              <w:right w:val="single" w:sz="1" w:space="0" w:color="000000"/>
            </w:tcBorders>
            <w:shd w:val="clear" w:color="auto" w:fill="auto"/>
          </w:tcPr>
          <w:p w:rsidR="00000000" w:rsidRDefault="002A62A4">
            <w:pPr>
              <w:pStyle w:val="TableContents"/>
              <w:jc w:val="center"/>
            </w:pPr>
            <w:r>
              <w:t>yes</w:t>
            </w:r>
          </w:p>
        </w:tc>
      </w:tr>
      <w:tr w:rsidR="00000000">
        <w:tc>
          <w:tcPr>
            <w:tcW w:w="1371" w:type="dxa"/>
            <w:tcBorders>
              <w:left w:val="single" w:sz="1" w:space="0" w:color="000000"/>
              <w:bottom w:val="single" w:sz="1" w:space="0" w:color="000000"/>
            </w:tcBorders>
            <w:shd w:val="clear" w:color="auto" w:fill="auto"/>
          </w:tcPr>
          <w:p w:rsidR="00000000" w:rsidRDefault="002A62A4">
            <w:pPr>
              <w:pStyle w:val="TableContents"/>
            </w:pPr>
            <w:r>
              <w:t>Sea salt fine</w:t>
            </w:r>
          </w:p>
        </w:tc>
        <w:tc>
          <w:tcPr>
            <w:tcW w:w="1114" w:type="dxa"/>
            <w:tcBorders>
              <w:left w:val="single" w:sz="1" w:space="0" w:color="000000"/>
              <w:bottom w:val="single" w:sz="1" w:space="0" w:color="000000"/>
            </w:tcBorders>
            <w:shd w:val="clear" w:color="auto" w:fill="auto"/>
          </w:tcPr>
          <w:p w:rsidR="00000000" w:rsidRDefault="002A62A4">
            <w:pPr>
              <w:pStyle w:val="TableContents"/>
              <w:jc w:val="center"/>
            </w:pPr>
            <w:r>
              <w:t>0.2</w:t>
            </w:r>
          </w:p>
        </w:tc>
        <w:tc>
          <w:tcPr>
            <w:tcW w:w="1113" w:type="dxa"/>
            <w:tcBorders>
              <w:left w:val="single" w:sz="1" w:space="0" w:color="000000"/>
              <w:bottom w:val="single" w:sz="1" w:space="0" w:color="000000"/>
            </w:tcBorders>
            <w:shd w:val="clear" w:color="auto" w:fill="auto"/>
          </w:tcPr>
          <w:p w:rsidR="00000000" w:rsidRDefault="002A62A4">
            <w:pPr>
              <w:pStyle w:val="TableContents"/>
              <w:jc w:val="center"/>
            </w:pPr>
            <w:r>
              <w:t>15</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0.05</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1.6</w:t>
            </w:r>
          </w:p>
        </w:tc>
        <w:tc>
          <w:tcPr>
            <w:tcW w:w="1384" w:type="dxa"/>
            <w:tcBorders>
              <w:left w:val="single" w:sz="1" w:space="0" w:color="000000"/>
              <w:bottom w:val="single" w:sz="1" w:space="0" w:color="000000"/>
            </w:tcBorders>
            <w:shd w:val="clear" w:color="auto" w:fill="auto"/>
          </w:tcPr>
          <w:p w:rsidR="00000000" w:rsidRDefault="002A62A4">
            <w:pPr>
              <w:pStyle w:val="TableContents"/>
              <w:jc w:val="center"/>
            </w:pPr>
            <w:r>
              <w:t>0.01</w:t>
            </w:r>
          </w:p>
        </w:tc>
        <w:tc>
          <w:tcPr>
            <w:tcW w:w="1383" w:type="dxa"/>
            <w:tcBorders>
              <w:left w:val="single" w:sz="1" w:space="0" w:color="000000"/>
              <w:bottom w:val="single" w:sz="1" w:space="0" w:color="000000"/>
              <w:right w:val="single" w:sz="1" w:space="0" w:color="000000"/>
            </w:tcBorders>
            <w:shd w:val="clear" w:color="auto" w:fill="auto"/>
          </w:tcPr>
          <w:p w:rsidR="00000000" w:rsidRDefault="002A62A4">
            <w:pPr>
              <w:pStyle w:val="TableContents"/>
              <w:jc w:val="center"/>
            </w:pPr>
            <w:r>
              <w:t>no</w:t>
            </w:r>
          </w:p>
        </w:tc>
      </w:tr>
      <w:tr w:rsidR="00000000">
        <w:tc>
          <w:tcPr>
            <w:tcW w:w="1371" w:type="dxa"/>
            <w:tcBorders>
              <w:left w:val="single" w:sz="1" w:space="0" w:color="000000"/>
              <w:bottom w:val="single" w:sz="1" w:space="0" w:color="000000"/>
            </w:tcBorders>
            <w:shd w:val="clear" w:color="auto" w:fill="auto"/>
          </w:tcPr>
          <w:p w:rsidR="00000000" w:rsidRDefault="002A62A4">
            <w:pPr>
              <w:pStyle w:val="TableContents"/>
            </w:pPr>
            <w:r>
              <w:t>Sea salt coarse</w:t>
            </w:r>
          </w:p>
        </w:tc>
        <w:tc>
          <w:tcPr>
            <w:tcW w:w="1114" w:type="dxa"/>
            <w:tcBorders>
              <w:left w:val="single" w:sz="1" w:space="0" w:color="000000"/>
              <w:bottom w:val="single" w:sz="1" w:space="0" w:color="000000"/>
            </w:tcBorders>
            <w:shd w:val="clear" w:color="auto" w:fill="auto"/>
          </w:tcPr>
          <w:p w:rsidR="00000000" w:rsidRDefault="002A62A4">
            <w:pPr>
              <w:pStyle w:val="TableContents"/>
              <w:jc w:val="center"/>
            </w:pPr>
            <w:r>
              <w:t>1.5</w:t>
            </w:r>
          </w:p>
        </w:tc>
        <w:tc>
          <w:tcPr>
            <w:tcW w:w="1113" w:type="dxa"/>
            <w:tcBorders>
              <w:left w:val="single" w:sz="1" w:space="0" w:color="000000"/>
              <w:bottom w:val="single" w:sz="1" w:space="0" w:color="000000"/>
            </w:tcBorders>
            <w:shd w:val="clear" w:color="auto" w:fill="auto"/>
          </w:tcPr>
          <w:p w:rsidR="00000000" w:rsidRDefault="002A62A4">
            <w:pPr>
              <w:pStyle w:val="TableContents"/>
              <w:jc w:val="center"/>
            </w:pPr>
            <w:r>
              <w:t>15</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0.25</w:t>
            </w:r>
          </w:p>
        </w:tc>
        <w:tc>
          <w:tcPr>
            <w:tcW w:w="1200" w:type="dxa"/>
            <w:tcBorders>
              <w:left w:val="single" w:sz="1" w:space="0" w:color="000000"/>
              <w:bottom w:val="single" w:sz="1" w:space="0" w:color="000000"/>
            </w:tcBorders>
            <w:shd w:val="clear" w:color="auto" w:fill="auto"/>
          </w:tcPr>
          <w:p w:rsidR="00000000" w:rsidRDefault="002A62A4">
            <w:pPr>
              <w:pStyle w:val="TableContents"/>
              <w:jc w:val="center"/>
            </w:pPr>
            <w:r>
              <w:t>1.6</w:t>
            </w:r>
          </w:p>
        </w:tc>
        <w:tc>
          <w:tcPr>
            <w:tcW w:w="1384" w:type="dxa"/>
            <w:tcBorders>
              <w:left w:val="single" w:sz="1" w:space="0" w:color="000000"/>
              <w:bottom w:val="single" w:sz="1" w:space="0" w:color="000000"/>
            </w:tcBorders>
            <w:shd w:val="clear" w:color="auto" w:fill="auto"/>
          </w:tcPr>
          <w:p w:rsidR="00000000" w:rsidRDefault="002A62A4">
            <w:pPr>
              <w:pStyle w:val="TableContents"/>
              <w:jc w:val="center"/>
            </w:pPr>
            <w:r>
              <w:t>0.01</w:t>
            </w:r>
          </w:p>
        </w:tc>
        <w:tc>
          <w:tcPr>
            <w:tcW w:w="1383" w:type="dxa"/>
            <w:tcBorders>
              <w:left w:val="single" w:sz="1" w:space="0" w:color="000000"/>
              <w:bottom w:val="single" w:sz="1" w:space="0" w:color="000000"/>
              <w:right w:val="single" w:sz="1" w:space="0" w:color="000000"/>
            </w:tcBorders>
            <w:shd w:val="clear" w:color="auto" w:fill="auto"/>
          </w:tcPr>
          <w:p w:rsidR="00000000" w:rsidRDefault="002A62A4">
            <w:pPr>
              <w:pStyle w:val="TableContents"/>
              <w:jc w:val="center"/>
              <w:rPr>
                <w:rFonts w:cs="Times New Roman"/>
              </w:rPr>
            </w:pPr>
            <w:r>
              <w:t>no</w:t>
            </w:r>
          </w:p>
        </w:tc>
      </w:tr>
    </w:tbl>
    <w:p w:rsidR="00000000" w:rsidRDefault="002A62A4">
      <w:proofErr w:type="gramStart"/>
      <w:r>
        <w:rPr>
          <w:rFonts w:cs="Times New Roman"/>
        </w:rPr>
        <w:t>χ</w:t>
      </w:r>
      <w:proofErr w:type="gramEnd"/>
      <w:r>
        <w:t xml:space="preserve"> </w:t>
      </w:r>
      <w:r>
        <w:rPr>
          <w:vertAlign w:val="subscript"/>
        </w:rPr>
        <w:t>mean</w:t>
      </w:r>
      <w:r>
        <w:t xml:space="preserve"> - the annual mean surface concentration, </w:t>
      </w:r>
      <w:proofErr w:type="spellStart"/>
      <w:r>
        <w:rPr>
          <w:rFonts w:cs="Times New Roman"/>
        </w:rPr>
        <w:t>Δχ</w:t>
      </w:r>
      <w:proofErr w:type="spellEnd"/>
      <w:r>
        <w:t xml:space="preserve">  - the amplitude of the cycle, </w:t>
      </w:r>
      <w:proofErr w:type="spellStart"/>
      <w:r>
        <w:t>d</w:t>
      </w:r>
      <w:r>
        <w:rPr>
          <w:vertAlign w:val="subscript"/>
        </w:rPr>
        <w:t>max</w:t>
      </w:r>
      <w:proofErr w:type="spellEnd"/>
      <w:r>
        <w:t xml:space="preserve"> - the day number of </w:t>
      </w:r>
      <w:r>
        <w:rPr>
          <w:rFonts w:cs="Times New Roman"/>
        </w:rPr>
        <w:t xml:space="preserve">χ </w:t>
      </w:r>
      <w:r>
        <w:t>maximum; Hz - the sc</w:t>
      </w:r>
      <w:r>
        <w:t>ale-heights of vertical distribution.</w:t>
      </w:r>
      <w:r>
        <w:t xml:space="preserve"> </w:t>
      </w:r>
      <w:r>
        <w:t>For trends, see below.</w:t>
      </w:r>
    </w:p>
    <w:p w:rsidR="00000000" w:rsidRDefault="002A62A4"/>
    <w:p w:rsidR="00CB2A06" w:rsidRDefault="00CB2A06"/>
    <w:p w:rsidR="003F22EA" w:rsidRPr="00E44DA6" w:rsidRDefault="00CB2A06" w:rsidP="003F22EA">
      <w:r>
        <w:t xml:space="preserve">For </w:t>
      </w:r>
      <w:r w:rsidR="00E44DA6">
        <w:t>Ozone,</w:t>
      </w:r>
      <w:r>
        <w:t xml:space="preserve">   BCs have zonal, monthly and vertical</w:t>
      </w:r>
      <w:r w:rsidR="003F22EA">
        <w:t xml:space="preserve"> </w:t>
      </w:r>
      <w:r>
        <w:t>variation</w:t>
      </w:r>
      <w:r w:rsidR="00E44DA6">
        <w:t xml:space="preserve"> and annual</w:t>
      </w:r>
      <w:r w:rsidR="003F22EA">
        <w:t xml:space="preserve"> </w:t>
      </w:r>
      <w:r w:rsidR="00E44DA6">
        <w:t>t</w:t>
      </w:r>
      <w:r w:rsidR="003F22EA">
        <w:t xml:space="preserve">rend </w:t>
      </w:r>
      <w:r w:rsidR="00E44DA6">
        <w:t>(</w:t>
      </w:r>
      <w:r w:rsidR="003F22EA">
        <w:t>see below)</w:t>
      </w:r>
    </w:p>
    <w:p w:rsidR="003F22EA" w:rsidRDefault="003F22EA" w:rsidP="003F22EA">
      <w:pPr>
        <w:rPr>
          <w:color w:val="000000"/>
        </w:rPr>
      </w:pPr>
      <w:r>
        <w:rPr>
          <w:rFonts w:eastAsia="Times New Roman" w:cs="Times New Roman"/>
        </w:rPr>
        <w:t xml:space="preserve">        </w:t>
      </w:r>
    </w:p>
    <w:p w:rsidR="003F22EA" w:rsidRDefault="003F22EA" w:rsidP="003F22EA">
      <w:pPr>
        <w:rPr>
          <w:color w:val="000000"/>
        </w:rPr>
      </w:pPr>
    </w:p>
    <w:p w:rsidR="003F22EA" w:rsidRDefault="00E44DA6" w:rsidP="003F22EA">
      <w:r>
        <w:t xml:space="preserve">For Sea salt, BCs </w:t>
      </w:r>
      <w:r w:rsidR="003F22EA">
        <w:t xml:space="preserve">over land </w:t>
      </w:r>
      <w:r>
        <w:t>are set to</w:t>
      </w:r>
      <w:r w:rsidR="003F22EA">
        <w:t xml:space="preserve"> 0.001 * </w:t>
      </w:r>
      <w:r>
        <w:t>BCs over sea</w:t>
      </w:r>
    </w:p>
    <w:p w:rsidR="003F22EA" w:rsidRDefault="003F22EA" w:rsidP="003F22EA"/>
    <w:p w:rsidR="00000000" w:rsidRDefault="003F22EA">
      <w:r>
        <w:t>Mineral Dust – monthly 3D fields from EMEP global run</w:t>
      </w:r>
      <w:r w:rsidR="00E44DA6">
        <w:t xml:space="preserve"> for 2012</w:t>
      </w:r>
    </w:p>
    <w:p w:rsidR="003F22EA" w:rsidRDefault="003F22EA" w:rsidP="003F22EA">
      <w:pPr>
        <w:ind w:left="1080"/>
      </w:pPr>
    </w:p>
    <w:p w:rsidR="00E44DA6" w:rsidRDefault="00E44DA6" w:rsidP="003F22EA">
      <w:r>
        <w:t>Constant BC</w:t>
      </w:r>
      <w:r w:rsidR="003F22EA">
        <w:t>s (no 3-D or monthly variations) are</w:t>
      </w:r>
      <w:r>
        <w:t xml:space="preserve"> set for</w:t>
      </w:r>
      <w:r w:rsidR="003F22EA">
        <w:t xml:space="preserve">: </w:t>
      </w:r>
    </w:p>
    <w:p w:rsidR="00E44DA6" w:rsidRDefault="00E44DA6" w:rsidP="003F22EA">
      <w:r>
        <w:t xml:space="preserve">         CH4 </w:t>
      </w:r>
      <w:proofErr w:type="gramStart"/>
      <w:r>
        <w:t xml:space="preserve">- </w:t>
      </w:r>
      <w:r w:rsidR="00030C30">
        <w:t xml:space="preserve"> </w:t>
      </w:r>
      <w:r>
        <w:t>1870</w:t>
      </w:r>
      <w:proofErr w:type="gramEnd"/>
      <w:r>
        <w:t xml:space="preserve"> ppb  </w:t>
      </w:r>
    </w:p>
    <w:p w:rsidR="003F22EA" w:rsidRDefault="00E44DA6" w:rsidP="003F22EA">
      <w:r>
        <w:t xml:space="preserve">         </w:t>
      </w:r>
      <w:r w:rsidR="003F22EA">
        <w:t xml:space="preserve">H2 </w:t>
      </w:r>
      <w:r>
        <w:t xml:space="preserve">   - </w:t>
      </w:r>
      <w:r w:rsidR="00030C30">
        <w:t xml:space="preserve">  </w:t>
      </w:r>
      <w:r>
        <w:t>600 ppb</w:t>
      </w:r>
    </w:p>
    <w:p w:rsidR="003F22EA" w:rsidRDefault="003F22EA" w:rsidP="003F22EA"/>
    <w:p w:rsidR="00000000" w:rsidRDefault="002A62A4"/>
    <w:p w:rsidR="00000000" w:rsidRDefault="002A62A4">
      <w:pPr>
        <w:pageBreakBefore/>
      </w:pPr>
      <w:r>
        <w:rPr>
          <w:u w:val="single"/>
        </w:rPr>
        <w:t>REFERENCES / NOTES</w:t>
      </w:r>
    </w:p>
    <w:p w:rsidR="00000000" w:rsidRDefault="002A62A4"/>
    <w:p w:rsidR="00000000" w:rsidRDefault="002A62A4">
      <w:r>
        <w:rPr>
          <w:b/>
          <w:bCs/>
        </w:rPr>
        <w:t xml:space="preserve">Ozone </w:t>
      </w:r>
    </w:p>
    <w:p w:rsidR="00000000" w:rsidRDefault="002A62A4">
      <w:r>
        <w:t>For BCs, we make use of Logan's climatological data</w:t>
      </w:r>
      <w:r w:rsidR="00E44DA6">
        <w:t xml:space="preserve"> (Logan, JGR, 1999)</w:t>
      </w:r>
      <w:r>
        <w:t>.</w:t>
      </w:r>
    </w:p>
    <w:p w:rsidR="00000000" w:rsidRDefault="002A62A4"/>
    <w:p w:rsidR="00000000" w:rsidRDefault="002A62A4">
      <w:r>
        <w:t>These climatological values are modified each mon</w:t>
      </w:r>
      <w:r>
        <w:t>th to ensure that they match concentrations observed in clean westerly Atlantic air masses as measured at Mace Head on the coast of Ireland. This `Mace Head correction' is calculated using IE31 O3 data and trajectory sectors (based on ECMWF met) for respec</w:t>
      </w:r>
      <w:r>
        <w:t xml:space="preserve">tive years, </w:t>
      </w:r>
      <w:r>
        <w:t>as described in Simpson et al., 2012.</w:t>
      </w:r>
    </w:p>
    <w:p w:rsidR="00000000" w:rsidRDefault="002A62A4"/>
    <w:p w:rsidR="00000000" w:rsidRDefault="002A62A4">
      <w:pPr>
        <w:rPr>
          <w:b/>
          <w:bCs/>
        </w:rPr>
      </w:pPr>
    </w:p>
    <w:p w:rsidR="00000000" w:rsidRDefault="002A62A4">
      <w:r>
        <w:rPr>
          <w:b/>
          <w:bCs/>
        </w:rPr>
        <w:t>PAN</w:t>
      </w:r>
    </w:p>
    <w:p w:rsidR="00000000" w:rsidRDefault="002A62A4">
      <w:r>
        <w:t>Trends are based on NOx emission trend in North America (see SIA below)</w:t>
      </w:r>
    </w:p>
    <w:p w:rsidR="00000000" w:rsidRDefault="002A62A4"/>
    <w:p w:rsidR="00000000" w:rsidRDefault="002A62A4">
      <w:pPr>
        <w:rPr>
          <w:color w:val="000000"/>
        </w:rPr>
      </w:pPr>
      <w:r>
        <w:rPr>
          <w:b/>
          <w:bCs/>
        </w:rPr>
        <w:t>CH4</w:t>
      </w:r>
    </w:p>
    <w:p w:rsidR="00000000" w:rsidRDefault="002A62A4">
      <w:r>
        <w:rPr>
          <w:color w:val="000000"/>
        </w:rPr>
        <w:t xml:space="preserve">The following values are set: 1780 ppb in 1990, 1820 ppb in 2000, and 1870 ppb in 2010. For other year, interpolation is </w:t>
      </w:r>
      <w:r>
        <w:rPr>
          <w:color w:val="000000"/>
        </w:rPr>
        <w:t xml:space="preserve">applied. </w:t>
      </w:r>
      <w:proofErr w:type="gramStart"/>
      <w:r>
        <w:rPr>
          <w:color w:val="000000"/>
        </w:rPr>
        <w:t>Values from Simpson et al. (2012</w:t>
      </w:r>
      <w:r>
        <w:rPr>
          <w:color w:val="000000"/>
        </w:rPr>
        <w:t xml:space="preserve">), Table 6.2 for </w:t>
      </w:r>
      <w:r>
        <w:rPr>
          <w:color w:val="000000"/>
        </w:rPr>
        <w:t>1990, and from CDIAC (Mace Head) data for 2000.</w:t>
      </w:r>
      <w:proofErr w:type="gramEnd"/>
      <w:r>
        <w:rPr>
          <w:color w:val="000000"/>
        </w:rPr>
        <w:t xml:space="preserve"> 2010 also from Mace Head</w:t>
      </w:r>
    </w:p>
    <w:p w:rsidR="00000000" w:rsidRDefault="002A62A4"/>
    <w:p w:rsidR="00000000" w:rsidRDefault="002A62A4"/>
    <w:p w:rsidR="00000000" w:rsidRDefault="002A62A4">
      <w:r>
        <w:rPr>
          <w:b/>
          <w:bCs/>
        </w:rPr>
        <w:t>SIA</w:t>
      </w:r>
    </w:p>
    <w:p w:rsidR="00000000" w:rsidRDefault="002A62A4">
      <w:r>
        <w:t>For SO4 and NO3, the trends for 1980-2003 are derived from the trend in EPA emissions for North America of SO2 and NOx.</w:t>
      </w:r>
    </w:p>
    <w:p w:rsidR="00000000" w:rsidRDefault="002A62A4">
      <w:r>
        <w:t>For NH4, the trends are derived as 2/3*SO4 + 1/3*NOx</w:t>
      </w:r>
    </w:p>
    <w:p w:rsidR="00000000" w:rsidRDefault="002A62A4"/>
    <w:p w:rsidR="00000000" w:rsidRDefault="002A62A4">
      <w:pPr>
        <w:rPr>
          <w:color w:val="0000FF"/>
        </w:rPr>
      </w:pPr>
      <w:r>
        <w:t xml:space="preserve">Support for SO2 can be found in Hicks, </w:t>
      </w:r>
      <w:proofErr w:type="spellStart"/>
      <w:r>
        <w:t>Artz</w:t>
      </w:r>
      <w:proofErr w:type="spellEnd"/>
      <w:r>
        <w:t xml:space="preserve">, Meyer and </w:t>
      </w:r>
      <w:proofErr w:type="spellStart"/>
      <w:r>
        <w:t>Hosker</w:t>
      </w:r>
      <w:proofErr w:type="spellEnd"/>
      <w:r>
        <w:t xml:space="preserve"> (2002) in Figure 7 (Eastern US) which show 'close' correspondence between national emissions and concentration trend.</w:t>
      </w:r>
    </w:p>
    <w:p w:rsidR="00000000" w:rsidRDefault="002A62A4">
      <w:pPr>
        <w:rPr>
          <w:color w:val="0000FF"/>
        </w:rPr>
      </w:pPr>
    </w:p>
    <w:p w:rsidR="00000000" w:rsidRDefault="002A62A4"/>
    <w:p w:rsidR="00000000" w:rsidRDefault="002A62A4">
      <w:pPr>
        <w:rPr>
          <w:rFonts w:eastAsia="Times New Roman" w:cs="Times New Roman"/>
        </w:rPr>
      </w:pPr>
      <w:r>
        <w:t>The trend-factors l</w:t>
      </w:r>
      <w:r>
        <w:t>ook like this:</w:t>
      </w:r>
    </w:p>
    <w:p w:rsidR="00000000" w:rsidRDefault="002A62A4">
      <w:pPr>
        <w:rPr>
          <w:rFonts w:eastAsia="Times New Roman" w:cs="Times New Roman"/>
        </w:rPr>
      </w:pPr>
      <w:r>
        <w:rPr>
          <w:rFonts w:eastAsia="Times New Roman" w:cs="Times New Roman"/>
        </w:rPr>
        <w:t xml:space="preserve">                                            </w:t>
      </w:r>
      <w:r>
        <w:rPr>
          <w:b/>
          <w:bCs/>
        </w:rPr>
        <w:t>SO2      NOx    NH4</w:t>
      </w:r>
    </w:p>
    <w:p w:rsidR="00000000" w:rsidRDefault="002A62A4">
      <w:pPr>
        <w:rPr>
          <w:rFonts w:eastAsia="Times New Roman" w:cs="Times New Roman"/>
        </w:rPr>
      </w:pPr>
      <w:r>
        <w:rPr>
          <w:rFonts w:eastAsia="Times New Roman" w:cs="Times New Roman"/>
        </w:rPr>
        <w:t xml:space="preserve">                  </w:t>
      </w:r>
      <w:proofErr w:type="spellStart"/>
      <w:r>
        <w:t>SIAfac</w:t>
      </w:r>
      <w:proofErr w:type="spellEnd"/>
      <w:r>
        <w:t xml:space="preserve"> (1990,   0.890,   0.943,   0.920)</w:t>
      </w:r>
    </w:p>
    <w:p w:rsidR="00000000" w:rsidRDefault="002A62A4">
      <w:pPr>
        <w:rPr>
          <w:rFonts w:eastAsia="Times New Roman" w:cs="Times New Roman"/>
        </w:rPr>
      </w:pPr>
      <w:r>
        <w:rPr>
          <w:rFonts w:eastAsia="Times New Roman" w:cs="Times New Roman"/>
        </w:rPr>
        <w:t xml:space="preserve">                  </w:t>
      </w:r>
      <w:proofErr w:type="spellStart"/>
      <w:r>
        <w:t>SIAfac</w:t>
      </w:r>
      <w:proofErr w:type="spellEnd"/>
      <w:r>
        <w:t xml:space="preserve"> (2000,   0.631,   0.835,   1.046)</w:t>
      </w:r>
    </w:p>
    <w:p w:rsidR="00000000" w:rsidRDefault="002A62A4">
      <w:pPr>
        <w:rPr>
          <w:u w:val="single"/>
        </w:rPr>
      </w:pPr>
      <w:r>
        <w:rPr>
          <w:rFonts w:eastAsia="Times New Roman" w:cs="Times New Roman"/>
        </w:rPr>
        <w:t xml:space="preserve">                  </w:t>
      </w:r>
      <w:proofErr w:type="spellStart"/>
      <w:r>
        <w:t>SIAfac</w:t>
      </w:r>
      <w:proofErr w:type="spellEnd"/>
      <w:r>
        <w:t xml:space="preserve"> (2010,   0.292,   0.543,   0.925)</w:t>
      </w:r>
    </w:p>
    <w:p w:rsidR="00000000" w:rsidRDefault="002A62A4">
      <w:pPr>
        <w:rPr>
          <w:u w:val="single"/>
        </w:rPr>
      </w:pPr>
    </w:p>
    <w:p w:rsidR="00000000" w:rsidRDefault="002A62A4">
      <w:pPr>
        <w:rPr>
          <w:u w:val="single"/>
        </w:rPr>
      </w:pPr>
    </w:p>
    <w:p w:rsidR="00000000" w:rsidRDefault="002A62A4" w:rsidP="00030C30">
      <w:pPr>
        <w:ind w:firstLine="709"/>
        <w:rPr>
          <w:u w:val="single"/>
        </w:rPr>
      </w:pPr>
      <w:r>
        <w:rPr>
          <w:u w:val="single"/>
        </w:rPr>
        <w:t xml:space="preserve">The reference </w:t>
      </w:r>
      <w:r>
        <w:rPr>
          <w:u w:val="single"/>
        </w:rPr>
        <w:t xml:space="preserve">value </w:t>
      </w:r>
      <w:r>
        <w:rPr>
          <w:u w:val="single"/>
        </w:rPr>
        <w:t>for SO2 and SO4</w:t>
      </w:r>
      <w:r w:rsidR="00030C30">
        <w:rPr>
          <w:u w:val="single"/>
        </w:rPr>
        <w:t xml:space="preserve"> </w:t>
      </w:r>
      <w:r w:rsidR="00030C30">
        <w:t>is 0.15 ppb in 1980</w:t>
      </w:r>
      <w:r>
        <w:t xml:space="preserve"> </w:t>
      </w:r>
      <w:r w:rsidR="00030C30">
        <w:t>(</w:t>
      </w:r>
      <w:r>
        <w:t>for both</w:t>
      </w:r>
      <w:r w:rsidR="00030C30">
        <w:t>)</w:t>
      </w:r>
      <w:proofErr w:type="gramStart"/>
      <w:r>
        <w:t>,</w:t>
      </w:r>
      <w:proofErr w:type="gramEnd"/>
      <w:r>
        <w:t xml:space="preserve"> loosely based upon a number of studies (Table S21 in Simpson et al. 2012 gives references). </w:t>
      </w:r>
      <w:proofErr w:type="gramStart"/>
      <w:r>
        <w:t xml:space="preserve">For example, </w:t>
      </w:r>
      <w:proofErr w:type="spellStart"/>
      <w:r>
        <w:t>Warneck</w:t>
      </w:r>
      <w:proofErr w:type="spellEnd"/>
      <w:r>
        <w:t xml:space="preserve"> (1999, Fig. 10.6) showed SO2 concentrations</w:t>
      </w:r>
      <w:r>
        <w:t xml:space="preserve"> </w:t>
      </w:r>
      <w:r w:rsidR="00030C30">
        <w:t xml:space="preserve">being </w:t>
      </w:r>
      <w:r>
        <w:t>around</w:t>
      </w:r>
      <w:r>
        <w:t xml:space="preserve"> 0.1-0.5 </w:t>
      </w:r>
      <w:proofErr w:type="spellStart"/>
      <w:r>
        <w:t>ug</w:t>
      </w:r>
      <w:proofErr w:type="spellEnd"/>
      <w:r>
        <w:t>/m3 (STP, ca. 0.04-0.2 ppb) over marine areas.</w:t>
      </w:r>
      <w:proofErr w:type="gramEnd"/>
      <w:r>
        <w:t xml:space="preserve"> Observations at Valentia Observatory on the west coast of Ireland show ca. 1 </w:t>
      </w:r>
      <w:proofErr w:type="spellStart"/>
      <w:r>
        <w:t>ug</w:t>
      </w:r>
      <w:proofErr w:type="spellEnd"/>
      <w:r>
        <w:t>/m3 for both SO2 and SO4 around 1980 (although certainly influenced by polluted sources). In earlier EMEP studies a sca</w:t>
      </w:r>
      <w:r>
        <w:t>le height of 1.6 km was used for SO2 and SO4, but model studies suggest that SO4 should show little vertical variation with height.</w:t>
      </w:r>
    </w:p>
    <w:p w:rsidR="00000000" w:rsidRDefault="002A62A4">
      <w:pPr>
        <w:rPr>
          <w:u w:val="single"/>
        </w:rPr>
      </w:pPr>
    </w:p>
    <w:p w:rsidR="00000000" w:rsidRDefault="002A62A4">
      <w:pPr>
        <w:rPr>
          <w:rFonts w:eastAsia="Times New Roman" w:cs="Times New Roman"/>
          <w:color w:val="0000FF"/>
        </w:rPr>
      </w:pPr>
      <w:proofErr w:type="spellStart"/>
      <w:r>
        <w:t>Warneck</w:t>
      </w:r>
      <w:proofErr w:type="spellEnd"/>
      <w:r>
        <w:t>, Chemistry of the Natural Atmosphere, 2nd edition, 1999</w:t>
      </w:r>
      <w:proofErr w:type="gramStart"/>
      <w:r>
        <w:t>;  Academic</w:t>
      </w:r>
      <w:proofErr w:type="gramEnd"/>
      <w:r>
        <w:t xml:space="preserve"> Press. (Fig 10-6)</w:t>
      </w:r>
    </w:p>
    <w:p w:rsidR="00000000" w:rsidRDefault="002A62A4">
      <w:pPr>
        <w:rPr>
          <w:rFonts w:eastAsia="Times New Roman" w:cs="Times New Roman"/>
          <w:color w:val="0000FF"/>
        </w:rPr>
      </w:pPr>
    </w:p>
    <w:p w:rsidR="00000000" w:rsidRDefault="002A62A4" w:rsidP="00030C30">
      <w:pPr>
        <w:ind w:firstLine="709"/>
      </w:pPr>
      <w:r>
        <w:rPr>
          <w:u w:val="single"/>
        </w:rPr>
        <w:t>References for NO3 fine &amp; coa</w:t>
      </w:r>
      <w:r>
        <w:rPr>
          <w:u w:val="single"/>
        </w:rPr>
        <w:t>rse and NH4</w:t>
      </w:r>
      <w:r w:rsidR="00030C30">
        <w:rPr>
          <w:u w:val="single"/>
        </w:rPr>
        <w:t>:</w:t>
      </w:r>
    </w:p>
    <w:p w:rsidR="00000000" w:rsidRDefault="00030C30">
      <w:r>
        <w:t>BCs are b</w:t>
      </w:r>
      <w:r w:rsidR="002A62A4">
        <w:t>ased on ACE-2 measurements. Lots of conflicting measurements exist, from NH4/SO4=2 to NH4/SO4=0.5 Thus, a 'mean' value of NH4/SO4=1 is therefore selected. Otherwise NH4 is assumed to act as SO4</w:t>
      </w:r>
      <w:r>
        <w:t>.</w:t>
      </w:r>
      <w:r w:rsidR="002A62A4">
        <w:t xml:space="preserve">    </w:t>
      </w:r>
    </w:p>
    <w:p w:rsidR="00000000" w:rsidRDefault="002A62A4">
      <w:r>
        <w:t>Fine NO3 is assumed to act as SO4, but with 1</w:t>
      </w:r>
      <w:r>
        <w:t>/2 concentrations and seasonal var.</w:t>
      </w:r>
    </w:p>
    <w:p w:rsidR="00000000" w:rsidRDefault="002A62A4">
      <w:r>
        <w:t>Coarse NO3 is assumed to act like sea salt in the vertical, with decreasing concentrations with height, and has approximately same concentration levels as fine NO3.</w:t>
      </w:r>
    </w:p>
    <w:p w:rsidR="00000000" w:rsidRDefault="002A62A4"/>
    <w:p w:rsidR="00000000" w:rsidRDefault="002A62A4" w:rsidP="00030C30">
      <w:pPr>
        <w:ind w:firstLine="709"/>
      </w:pPr>
      <w:r>
        <w:rPr>
          <w:u w:val="single"/>
        </w:rPr>
        <w:t xml:space="preserve">Reference for Sea </w:t>
      </w:r>
      <w:r w:rsidR="00030C30">
        <w:rPr>
          <w:u w:val="single"/>
        </w:rPr>
        <w:t>S</w:t>
      </w:r>
      <w:bookmarkStart w:id="0" w:name="_GoBack"/>
      <w:bookmarkEnd w:id="0"/>
      <w:r>
        <w:rPr>
          <w:u w:val="single"/>
        </w:rPr>
        <w:t xml:space="preserve">alt </w:t>
      </w:r>
    </w:p>
    <w:p w:rsidR="00000000" w:rsidRDefault="002A62A4">
      <w:r>
        <w:t>A constant value over ocean ha</w:t>
      </w:r>
      <w:r>
        <w:t>s been selected, loosely based on EMEP global runs and on Na+ verification with EMEP observations.</w:t>
      </w:r>
    </w:p>
    <w:p w:rsidR="00000000" w:rsidRDefault="002A62A4"/>
    <w:p w:rsidR="00000000" w:rsidRDefault="002A62A4"/>
    <w:p w:rsidR="00000000" w:rsidRDefault="002A62A4"/>
    <w:p w:rsidR="00000000" w:rsidRDefault="002A62A4"/>
    <w:sectPr w:rsidR="00000000">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3B716F"/>
    <w:multiLevelType w:val="hybridMultilevel"/>
    <w:tmpl w:val="E970FCA4"/>
    <w:lvl w:ilvl="0" w:tplc="04140001">
      <w:start w:val="1"/>
      <w:numFmt w:val="bullet"/>
      <w:lvlText w:val=""/>
      <w:lvlJc w:val="left"/>
      <w:pPr>
        <w:ind w:left="663" w:hanging="360"/>
      </w:pPr>
      <w:rPr>
        <w:rFonts w:ascii="Symbol" w:hAnsi="Symbol" w:hint="default"/>
      </w:rPr>
    </w:lvl>
    <w:lvl w:ilvl="1" w:tplc="04140003" w:tentative="1">
      <w:start w:val="1"/>
      <w:numFmt w:val="bullet"/>
      <w:lvlText w:val="o"/>
      <w:lvlJc w:val="left"/>
      <w:pPr>
        <w:ind w:left="1383" w:hanging="360"/>
      </w:pPr>
      <w:rPr>
        <w:rFonts w:ascii="Courier New" w:hAnsi="Courier New" w:cs="Courier New" w:hint="default"/>
      </w:rPr>
    </w:lvl>
    <w:lvl w:ilvl="2" w:tplc="04140005" w:tentative="1">
      <w:start w:val="1"/>
      <w:numFmt w:val="bullet"/>
      <w:lvlText w:val=""/>
      <w:lvlJc w:val="left"/>
      <w:pPr>
        <w:ind w:left="2103" w:hanging="360"/>
      </w:pPr>
      <w:rPr>
        <w:rFonts w:ascii="Wingdings" w:hAnsi="Wingdings" w:hint="default"/>
      </w:rPr>
    </w:lvl>
    <w:lvl w:ilvl="3" w:tplc="04140001" w:tentative="1">
      <w:start w:val="1"/>
      <w:numFmt w:val="bullet"/>
      <w:lvlText w:val=""/>
      <w:lvlJc w:val="left"/>
      <w:pPr>
        <w:ind w:left="2823" w:hanging="360"/>
      </w:pPr>
      <w:rPr>
        <w:rFonts w:ascii="Symbol" w:hAnsi="Symbol" w:hint="default"/>
      </w:rPr>
    </w:lvl>
    <w:lvl w:ilvl="4" w:tplc="04140003" w:tentative="1">
      <w:start w:val="1"/>
      <w:numFmt w:val="bullet"/>
      <w:lvlText w:val="o"/>
      <w:lvlJc w:val="left"/>
      <w:pPr>
        <w:ind w:left="3543" w:hanging="360"/>
      </w:pPr>
      <w:rPr>
        <w:rFonts w:ascii="Courier New" w:hAnsi="Courier New" w:cs="Courier New" w:hint="default"/>
      </w:rPr>
    </w:lvl>
    <w:lvl w:ilvl="5" w:tplc="04140005" w:tentative="1">
      <w:start w:val="1"/>
      <w:numFmt w:val="bullet"/>
      <w:lvlText w:val=""/>
      <w:lvlJc w:val="left"/>
      <w:pPr>
        <w:ind w:left="4263" w:hanging="360"/>
      </w:pPr>
      <w:rPr>
        <w:rFonts w:ascii="Wingdings" w:hAnsi="Wingdings" w:hint="default"/>
      </w:rPr>
    </w:lvl>
    <w:lvl w:ilvl="6" w:tplc="04140001" w:tentative="1">
      <w:start w:val="1"/>
      <w:numFmt w:val="bullet"/>
      <w:lvlText w:val=""/>
      <w:lvlJc w:val="left"/>
      <w:pPr>
        <w:ind w:left="4983" w:hanging="360"/>
      </w:pPr>
      <w:rPr>
        <w:rFonts w:ascii="Symbol" w:hAnsi="Symbol" w:hint="default"/>
      </w:rPr>
    </w:lvl>
    <w:lvl w:ilvl="7" w:tplc="04140003" w:tentative="1">
      <w:start w:val="1"/>
      <w:numFmt w:val="bullet"/>
      <w:lvlText w:val="o"/>
      <w:lvlJc w:val="left"/>
      <w:pPr>
        <w:ind w:left="5703" w:hanging="360"/>
      </w:pPr>
      <w:rPr>
        <w:rFonts w:ascii="Courier New" w:hAnsi="Courier New" w:cs="Courier New" w:hint="default"/>
      </w:rPr>
    </w:lvl>
    <w:lvl w:ilvl="8" w:tplc="04140005" w:tentative="1">
      <w:start w:val="1"/>
      <w:numFmt w:val="bullet"/>
      <w:lvlText w:val=""/>
      <w:lvlJc w:val="left"/>
      <w:pPr>
        <w:ind w:left="642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2A"/>
    <w:rsid w:val="00030C30"/>
    <w:rsid w:val="002A62A4"/>
    <w:rsid w:val="003F22EA"/>
    <w:rsid w:val="005F779D"/>
    <w:rsid w:val="00843FBF"/>
    <w:rsid w:val="00CB2A06"/>
    <w:rsid w:val="00CF292A"/>
    <w:rsid w:val="00E44D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Micro Hei" w:cs="Lohit Hindi"/>
      <w:kern w:val="1"/>
      <w:sz w:val="24"/>
      <w:szCs w:val="24"/>
      <w:lang w:val="en-US" w:eastAsia="zh-CN" w:bidi="hi-IN"/>
    </w:rPr>
  </w:style>
  <w:style w:type="character" w:default="1" w:styleId="Standardskriftforavsnitt">
    <w:name w:val="Default Paragraph Fon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rdtekst"/>
    <w:pPr>
      <w:keepNext/>
      <w:spacing w:before="240" w:after="120"/>
    </w:pPr>
    <w:rPr>
      <w:rFonts w:ascii="Arial" w:hAnsi="Arial"/>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bletekst">
    <w:name w:val="Balloon Text"/>
    <w:basedOn w:val="Normal"/>
    <w:link w:val="BobletekstTegn"/>
    <w:uiPriority w:val="99"/>
    <w:semiHidden/>
    <w:unhideWhenUsed/>
    <w:rsid w:val="00CF292A"/>
    <w:rPr>
      <w:rFonts w:ascii="Tahoma" w:hAnsi="Tahoma" w:cs="Mangal"/>
      <w:sz w:val="16"/>
      <w:szCs w:val="14"/>
    </w:rPr>
  </w:style>
  <w:style w:type="character" w:customStyle="1" w:styleId="BobletekstTegn">
    <w:name w:val="Bobletekst Tegn"/>
    <w:basedOn w:val="Standardskriftforavsnitt"/>
    <w:link w:val="Bobletekst"/>
    <w:uiPriority w:val="99"/>
    <w:semiHidden/>
    <w:rsid w:val="00CF292A"/>
    <w:rPr>
      <w:rFonts w:ascii="Tahoma" w:eastAsia="WenQuanYi Micro Hei" w:hAnsi="Tahoma" w:cs="Mangal"/>
      <w:kern w:val="1"/>
      <w:sz w:val="16"/>
      <w:szCs w:val="14"/>
      <w:lang w:val="en-US" w:eastAsia="zh-CN" w:bidi="hi-IN"/>
    </w:rPr>
  </w:style>
  <w:style w:type="paragraph" w:styleId="Listeavsnitt">
    <w:name w:val="List Paragraph"/>
    <w:basedOn w:val="Normal"/>
    <w:uiPriority w:val="34"/>
    <w:qFormat/>
    <w:rsid w:val="005F779D"/>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Micro Hei" w:cs="Lohit Hindi"/>
      <w:kern w:val="1"/>
      <w:sz w:val="24"/>
      <w:szCs w:val="24"/>
      <w:lang w:val="en-US" w:eastAsia="zh-CN" w:bidi="hi-IN"/>
    </w:rPr>
  </w:style>
  <w:style w:type="character" w:default="1" w:styleId="Standardskriftforavsnitt">
    <w:name w:val="Default Paragraph Fon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rdtekst"/>
    <w:pPr>
      <w:keepNext/>
      <w:spacing w:before="240" w:after="120"/>
    </w:pPr>
    <w:rPr>
      <w:rFonts w:ascii="Arial" w:hAnsi="Arial"/>
      <w:sz w:val="28"/>
      <w:szCs w:val="28"/>
    </w:rPr>
  </w:style>
  <w:style w:type="paragraph" w:styleId="Brdtekst">
    <w:name w:val="Body Text"/>
    <w:basedOn w:val="Normal"/>
    <w:pPr>
      <w:spacing w:after="120"/>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bletekst">
    <w:name w:val="Balloon Text"/>
    <w:basedOn w:val="Normal"/>
    <w:link w:val="BobletekstTegn"/>
    <w:uiPriority w:val="99"/>
    <w:semiHidden/>
    <w:unhideWhenUsed/>
    <w:rsid w:val="00CF292A"/>
    <w:rPr>
      <w:rFonts w:ascii="Tahoma" w:hAnsi="Tahoma" w:cs="Mangal"/>
      <w:sz w:val="16"/>
      <w:szCs w:val="14"/>
    </w:rPr>
  </w:style>
  <w:style w:type="character" w:customStyle="1" w:styleId="BobletekstTegn">
    <w:name w:val="Bobletekst Tegn"/>
    <w:basedOn w:val="Standardskriftforavsnitt"/>
    <w:link w:val="Bobletekst"/>
    <w:uiPriority w:val="99"/>
    <w:semiHidden/>
    <w:rsid w:val="00CF292A"/>
    <w:rPr>
      <w:rFonts w:ascii="Tahoma" w:eastAsia="WenQuanYi Micro Hei" w:hAnsi="Tahoma" w:cs="Mangal"/>
      <w:kern w:val="1"/>
      <w:sz w:val="16"/>
      <w:szCs w:val="14"/>
      <w:lang w:val="en-US" w:eastAsia="zh-CN" w:bidi="hi-IN"/>
    </w:rPr>
  </w:style>
  <w:style w:type="paragraph" w:styleId="Listeavsnitt">
    <w:name w:val="List Paragraph"/>
    <w:basedOn w:val="Normal"/>
    <w:uiPriority w:val="34"/>
    <w:qFormat/>
    <w:rsid w:val="005F779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4873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Tsyro</dc:creator>
  <cp:lastModifiedBy>Svetlana Tsyro</cp:lastModifiedBy>
  <cp:revision>2</cp:revision>
  <cp:lastPrinted>1601-01-01T00:00:00Z</cp:lastPrinted>
  <dcterms:created xsi:type="dcterms:W3CDTF">2015-02-25T16:24:00Z</dcterms:created>
  <dcterms:modified xsi:type="dcterms:W3CDTF">2015-02-25T16:24:00Z</dcterms:modified>
</cp:coreProperties>
</file>